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5D" w:rsidRDefault="00C3415D" w:rsidP="00C3415D">
      <w:pPr>
        <w:jc w:val="center"/>
        <w:rPr>
          <w:sz w:val="100"/>
          <w:szCs w:val="100"/>
        </w:rPr>
      </w:pPr>
    </w:p>
    <w:p w:rsidR="00C3415D" w:rsidRDefault="00C3415D" w:rsidP="00C3415D">
      <w:pPr>
        <w:jc w:val="center"/>
        <w:rPr>
          <w:sz w:val="100"/>
          <w:szCs w:val="100"/>
        </w:rPr>
      </w:pPr>
    </w:p>
    <w:p w:rsidR="00C3415D" w:rsidRDefault="00C3415D" w:rsidP="00C3415D">
      <w:pPr>
        <w:jc w:val="center"/>
        <w:rPr>
          <w:sz w:val="100"/>
          <w:szCs w:val="100"/>
        </w:rPr>
      </w:pPr>
    </w:p>
    <w:p w:rsidR="000A71C5" w:rsidRPr="00C3415D" w:rsidRDefault="00C3415D" w:rsidP="00C3415D">
      <w:pPr>
        <w:jc w:val="center"/>
        <w:rPr>
          <w:rFonts w:ascii="Arial" w:hAnsi="Arial" w:cs="Arial"/>
          <w:sz w:val="100"/>
          <w:szCs w:val="100"/>
        </w:rPr>
      </w:pPr>
      <w:r w:rsidRPr="00C3415D">
        <w:rPr>
          <w:rFonts w:ascii="Arial" w:hAnsi="Arial" w:cs="Arial"/>
          <w:sz w:val="100"/>
          <w:szCs w:val="100"/>
        </w:rPr>
        <w:t>CONSULTA DE PARTIDOS</w:t>
      </w:r>
    </w:p>
    <w:p w:rsidR="00C3415D" w:rsidRDefault="00C3415D" w:rsidP="00C3415D">
      <w:pPr>
        <w:jc w:val="center"/>
        <w:rPr>
          <w:rFonts w:ascii="Arial" w:hAnsi="Arial" w:cs="Arial"/>
          <w:sz w:val="100"/>
          <w:szCs w:val="100"/>
        </w:rPr>
      </w:pPr>
      <w:r w:rsidRPr="00C3415D">
        <w:rPr>
          <w:rFonts w:ascii="Arial" w:hAnsi="Arial" w:cs="Arial"/>
          <w:sz w:val="100"/>
          <w:szCs w:val="100"/>
        </w:rPr>
        <w:t>2017</w:t>
      </w:r>
    </w:p>
    <w:p w:rsidR="003E6ED4" w:rsidRDefault="003E6ED4" w:rsidP="00C3415D">
      <w:pPr>
        <w:jc w:val="center"/>
        <w:rPr>
          <w:rFonts w:ascii="Arial" w:hAnsi="Arial" w:cs="Arial"/>
          <w:sz w:val="100"/>
          <w:szCs w:val="100"/>
        </w:rPr>
      </w:pPr>
    </w:p>
    <w:p w:rsidR="003E6ED4" w:rsidRDefault="003E6ED4" w:rsidP="00C3415D">
      <w:pPr>
        <w:jc w:val="center"/>
        <w:rPr>
          <w:rFonts w:ascii="Arial" w:hAnsi="Arial" w:cs="Arial"/>
          <w:sz w:val="100"/>
          <w:szCs w:val="100"/>
        </w:rPr>
      </w:pPr>
    </w:p>
    <w:p w:rsidR="003E6ED4" w:rsidRDefault="003E6ED4" w:rsidP="00C3415D">
      <w:pPr>
        <w:jc w:val="center"/>
        <w:rPr>
          <w:rFonts w:ascii="Arial" w:hAnsi="Arial" w:cs="Arial"/>
          <w:sz w:val="100"/>
          <w:szCs w:val="100"/>
        </w:rPr>
      </w:pPr>
    </w:p>
    <w:p w:rsidR="003E6ED4" w:rsidRDefault="003E6ED4" w:rsidP="003E6ED4">
      <w:pPr>
        <w:jc w:val="both"/>
        <w:rPr>
          <w:rFonts w:ascii="Arial" w:hAnsi="Arial" w:cs="Arial"/>
          <w:sz w:val="24"/>
          <w:szCs w:val="24"/>
        </w:rPr>
      </w:pPr>
    </w:p>
    <w:p w:rsidR="003E6ED4" w:rsidRDefault="003E6ED4" w:rsidP="003E6ED4">
      <w:pPr>
        <w:pStyle w:val="Prrafodelista"/>
        <w:numPr>
          <w:ilvl w:val="0"/>
          <w:numId w:val="1"/>
        </w:numPr>
        <w:jc w:val="both"/>
        <w:rPr>
          <w:rFonts w:ascii="Arial" w:hAnsi="Arial" w:cs="Arial"/>
          <w:b/>
          <w:sz w:val="24"/>
          <w:szCs w:val="24"/>
        </w:rPr>
      </w:pPr>
      <w:r w:rsidRPr="003E6ED4">
        <w:rPr>
          <w:rFonts w:ascii="Arial" w:hAnsi="Arial" w:cs="Arial"/>
          <w:b/>
          <w:sz w:val="24"/>
          <w:szCs w:val="24"/>
        </w:rPr>
        <w:t>ARTÍCULO 107 DE LA CONSTITUCIÓN POLÍTICA DE COLOMBIA</w:t>
      </w:r>
    </w:p>
    <w:p w:rsidR="003E6ED4" w:rsidRPr="003E6ED4" w:rsidRDefault="003E6ED4" w:rsidP="003E6ED4">
      <w:pPr>
        <w:pStyle w:val="NormalWeb"/>
        <w:shd w:val="clear" w:color="auto" w:fill="FFFFFF"/>
        <w:jc w:val="both"/>
        <w:rPr>
          <w:rFonts w:ascii="Arial" w:hAnsi="Arial" w:cs="Arial"/>
          <w:i/>
          <w:color w:val="000000"/>
        </w:rPr>
      </w:pPr>
      <w:r w:rsidRPr="003E6ED4">
        <w:rPr>
          <w:rFonts w:ascii="Arial" w:hAnsi="Arial" w:cs="Arial"/>
          <w:bCs/>
          <w:color w:val="000000"/>
          <w:sz w:val="27"/>
          <w:szCs w:val="27"/>
        </w:rPr>
        <w:t>“</w:t>
      </w:r>
      <w:r w:rsidRPr="003E6ED4">
        <w:rPr>
          <w:rFonts w:ascii="Arial" w:hAnsi="Arial" w:cs="Arial"/>
          <w:b/>
          <w:bCs/>
          <w:i/>
          <w:color w:val="000000"/>
        </w:rPr>
        <w:t>ARTICULO 107. </w:t>
      </w:r>
      <w:hyperlink r:id="rId7" w:anchor="1" w:history="1">
        <w:r w:rsidRPr="003E6ED4">
          <w:rPr>
            <w:rStyle w:val="Hipervnculo"/>
            <w:rFonts w:ascii="Arial" w:hAnsi="Arial" w:cs="Arial"/>
            <w:i/>
          </w:rPr>
          <w:t>Modificado por el art. 1, Acto Legislativo 01 de 2009</w:t>
        </w:r>
      </w:hyperlink>
      <w:r w:rsidRPr="003E6ED4">
        <w:rPr>
          <w:rFonts w:ascii="Arial" w:hAnsi="Arial" w:cs="Arial"/>
          <w:i/>
          <w:color w:val="000000"/>
        </w:rPr>
        <w:t>.</w:t>
      </w:r>
      <w:r w:rsidRPr="003E6ED4">
        <w:rPr>
          <w:rFonts w:ascii="Arial" w:hAnsi="Arial" w:cs="Arial"/>
          <w:b/>
          <w:bCs/>
          <w:i/>
          <w:color w:val="000000"/>
        </w:rPr>
        <w:t> El nuevo texto es el siguiente:</w:t>
      </w:r>
      <w:r w:rsidRPr="003E6ED4">
        <w:rPr>
          <w:rFonts w:ascii="Arial" w:hAnsi="Arial" w:cs="Arial"/>
          <w:i/>
          <w:color w:val="000000"/>
        </w:rPr>
        <w:t> Se garantiza a todos los ciudadanos el derecho a fundar, organizar y desarrollar partidos y movimientos políticos, y la libertad de afiliarse a ellos o de retirarse.</w:t>
      </w:r>
    </w:p>
    <w:p w:rsidR="003E6ED4" w:rsidRPr="003E6ED4" w:rsidRDefault="003E6ED4" w:rsidP="003E6ED4">
      <w:pPr>
        <w:pStyle w:val="NormalWeb"/>
        <w:shd w:val="clear" w:color="auto" w:fill="FFFFFF"/>
        <w:jc w:val="both"/>
        <w:rPr>
          <w:rFonts w:ascii="Arial" w:hAnsi="Arial" w:cs="Arial"/>
          <w:i/>
          <w:color w:val="000000"/>
        </w:rPr>
      </w:pPr>
      <w:r w:rsidRPr="003E6ED4">
        <w:rPr>
          <w:rFonts w:ascii="Arial" w:hAnsi="Arial" w:cs="Arial"/>
          <w:i/>
          <w:color w:val="000000"/>
        </w:rPr>
        <w:t>En ningún caso se permitirá a los ciudadanos pertenecer simultáneamente a más de un partido o movimiento político con personería jurídica.</w:t>
      </w:r>
    </w:p>
    <w:p w:rsidR="003E6ED4" w:rsidRPr="003E6ED4" w:rsidRDefault="003E6ED4" w:rsidP="003E6ED4">
      <w:pPr>
        <w:pStyle w:val="NormalWeb"/>
        <w:shd w:val="clear" w:color="auto" w:fill="FFFFFF"/>
        <w:jc w:val="both"/>
        <w:rPr>
          <w:rFonts w:ascii="Arial" w:hAnsi="Arial" w:cs="Arial"/>
          <w:i/>
          <w:color w:val="000000"/>
        </w:rPr>
      </w:pPr>
      <w:r w:rsidRPr="003E6ED4">
        <w:rPr>
          <w:rFonts w:ascii="Arial" w:hAnsi="Arial" w:cs="Arial"/>
          <w:i/>
          <w:color w:val="000000"/>
        </w:rPr>
        <w:t>Los Partidos y Movimientos Políticos se organizarán democráticamente y tendrán como principios rectores la transparencia, objetividad, moralidad, la equidad de género, y el deber de presentar y divulgar sus programas políticos.</w:t>
      </w:r>
    </w:p>
    <w:p w:rsidR="003E6ED4" w:rsidRPr="003E6ED4" w:rsidRDefault="003E6ED4" w:rsidP="003E6ED4">
      <w:pPr>
        <w:pStyle w:val="NormalWeb"/>
        <w:shd w:val="clear" w:color="auto" w:fill="FFFFFF"/>
        <w:jc w:val="both"/>
        <w:rPr>
          <w:rFonts w:ascii="Arial" w:hAnsi="Arial" w:cs="Arial"/>
          <w:i/>
          <w:color w:val="000000"/>
          <w:u w:val="single"/>
        </w:rPr>
      </w:pPr>
      <w:r w:rsidRPr="003E6ED4">
        <w:rPr>
          <w:rFonts w:ascii="Arial" w:hAnsi="Arial" w:cs="Arial"/>
          <w:i/>
          <w:color w:val="000000"/>
          <w:u w:val="single"/>
        </w:rPr>
        <w:t>Para la toma de sus decisiones o la escogencia de sus candidatos propios o por coalición, podrán celebrar consultas populares o internas o interpartidistas que coincidan o no con las elecciones a Corporaciones Públicas, de acuerdo con lo previsto en sus Estatutos y en la ley.</w:t>
      </w:r>
    </w:p>
    <w:p w:rsidR="003E6ED4" w:rsidRPr="003E6ED4" w:rsidRDefault="003E6ED4" w:rsidP="003E6ED4">
      <w:pPr>
        <w:pStyle w:val="NormalWeb"/>
        <w:shd w:val="clear" w:color="auto" w:fill="FFFFFF"/>
        <w:jc w:val="both"/>
        <w:rPr>
          <w:rFonts w:ascii="Arial" w:hAnsi="Arial" w:cs="Arial"/>
          <w:i/>
          <w:color w:val="000000"/>
          <w:u w:val="single"/>
        </w:rPr>
      </w:pPr>
      <w:r w:rsidRPr="003E6ED4">
        <w:rPr>
          <w:rFonts w:ascii="Arial" w:hAnsi="Arial" w:cs="Arial"/>
          <w:i/>
          <w:color w:val="000000"/>
          <w:u w:val="single"/>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rsidR="003E6ED4" w:rsidRPr="003E6ED4" w:rsidRDefault="003E6ED4" w:rsidP="003E6ED4">
      <w:pPr>
        <w:pStyle w:val="NormalWeb"/>
        <w:shd w:val="clear" w:color="auto" w:fill="FFFFFF"/>
        <w:jc w:val="both"/>
        <w:rPr>
          <w:rFonts w:ascii="Arial" w:hAnsi="Arial" w:cs="Arial"/>
          <w:i/>
          <w:color w:val="000000"/>
        </w:rPr>
      </w:pPr>
      <w:r w:rsidRPr="003E6ED4">
        <w:rPr>
          <w:rFonts w:ascii="Arial" w:hAnsi="Arial" w:cs="Arial"/>
          <w:i/>
          <w:color w:val="000000"/>
        </w:rPr>
        <w:t>Los directivos de los Partidos y Movimientos Políticos deberán propiciar procesos de democratización interna y el fortalecimiento del régimen de bancadas.</w:t>
      </w:r>
    </w:p>
    <w:p w:rsidR="003E6ED4" w:rsidRPr="003E6ED4" w:rsidRDefault="003E6ED4" w:rsidP="003E6ED4">
      <w:pPr>
        <w:pStyle w:val="NormalWeb"/>
        <w:shd w:val="clear" w:color="auto" w:fill="FFFFFF"/>
        <w:jc w:val="both"/>
        <w:rPr>
          <w:rFonts w:ascii="Arial" w:hAnsi="Arial" w:cs="Arial"/>
          <w:i/>
          <w:color w:val="000000"/>
        </w:rPr>
      </w:pPr>
      <w:r w:rsidRPr="003E6ED4">
        <w:rPr>
          <w:rFonts w:ascii="Arial" w:hAnsi="Arial" w:cs="Arial"/>
          <w:i/>
          <w:color w:val="000000"/>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rsidR="003E6ED4" w:rsidRPr="003E6ED4" w:rsidRDefault="003E6ED4" w:rsidP="003E6ED4">
      <w:pPr>
        <w:pStyle w:val="NormalWeb"/>
        <w:shd w:val="clear" w:color="auto" w:fill="FFFFFF"/>
        <w:jc w:val="both"/>
        <w:rPr>
          <w:rFonts w:ascii="Arial" w:hAnsi="Arial" w:cs="Arial"/>
          <w:i/>
          <w:color w:val="000000"/>
        </w:rPr>
      </w:pPr>
      <w:r w:rsidRPr="003E6ED4">
        <w:rPr>
          <w:rFonts w:ascii="Arial" w:hAnsi="Arial" w:cs="Arial"/>
          <w:i/>
          <w:color w:val="000000"/>
        </w:rP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rsidR="003E6ED4" w:rsidRPr="003E6ED4" w:rsidRDefault="003E6ED4" w:rsidP="003E6ED4">
      <w:pPr>
        <w:pStyle w:val="NormalWeb"/>
        <w:shd w:val="clear" w:color="auto" w:fill="FFFFFF"/>
        <w:jc w:val="both"/>
        <w:rPr>
          <w:rFonts w:ascii="Arial" w:hAnsi="Arial" w:cs="Arial"/>
          <w:i/>
          <w:color w:val="000000"/>
        </w:rPr>
      </w:pPr>
      <w:r w:rsidRPr="003E6ED4">
        <w:rPr>
          <w:rFonts w:ascii="Arial" w:hAnsi="Arial" w:cs="Arial"/>
          <w:i/>
          <w:color w:val="000000"/>
        </w:rPr>
        <w:lastRenderedPageBreak/>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rsidR="003E6ED4" w:rsidRPr="003E6ED4" w:rsidRDefault="003E6ED4" w:rsidP="003E6ED4">
      <w:pPr>
        <w:pStyle w:val="NormalWeb"/>
        <w:shd w:val="clear" w:color="auto" w:fill="FFFFFF"/>
        <w:jc w:val="both"/>
        <w:rPr>
          <w:rFonts w:ascii="Arial" w:hAnsi="Arial" w:cs="Arial"/>
          <w:i/>
          <w:color w:val="000000"/>
        </w:rPr>
      </w:pPr>
      <w:r w:rsidRPr="003E6ED4">
        <w:rPr>
          <w:rFonts w:ascii="Arial" w:hAnsi="Arial" w:cs="Arial"/>
          <w:i/>
          <w:color w:val="000000"/>
        </w:rPr>
        <w:t>Los directivos de los partidos a quienes se demuestre que no han procedido con el debido cuidado y diligencia en el ejercicio de los derechos y obligaciones que les confiere Personería Jurídica también estarán sujetos a las sanciones que determine la ley.</w:t>
      </w:r>
    </w:p>
    <w:p w:rsidR="003E6ED4" w:rsidRPr="003E6ED4" w:rsidRDefault="003E6ED4" w:rsidP="003E6ED4">
      <w:pPr>
        <w:pStyle w:val="NormalWeb"/>
        <w:shd w:val="clear" w:color="auto" w:fill="FFFFFF"/>
        <w:jc w:val="both"/>
        <w:rPr>
          <w:rFonts w:ascii="Arial" w:hAnsi="Arial" w:cs="Arial"/>
          <w:i/>
          <w:color w:val="000000"/>
        </w:rPr>
      </w:pPr>
      <w:r w:rsidRPr="003E6ED4">
        <w:rPr>
          <w:rFonts w:ascii="Arial" w:hAnsi="Arial" w:cs="Arial"/>
          <w:i/>
          <w:color w:val="000000"/>
        </w:rPr>
        <w:t>También se garantiza a las organizaciones sociales el derecho a manifestarse y a participar en eventos políticos.</w:t>
      </w:r>
    </w:p>
    <w:p w:rsidR="003E6ED4" w:rsidRPr="003E6ED4" w:rsidRDefault="003E6ED4" w:rsidP="003E6ED4">
      <w:pPr>
        <w:pStyle w:val="NormalWeb"/>
        <w:shd w:val="clear" w:color="auto" w:fill="FFFFFF"/>
        <w:jc w:val="both"/>
        <w:rPr>
          <w:rFonts w:ascii="Arial" w:hAnsi="Arial" w:cs="Arial"/>
          <w:i/>
          <w:color w:val="000000"/>
        </w:rPr>
      </w:pPr>
      <w:r w:rsidRPr="003E6ED4">
        <w:rPr>
          <w:rFonts w:ascii="Arial" w:hAnsi="Arial" w:cs="Arial"/>
          <w:i/>
          <w:color w:val="000000"/>
        </w:rPr>
        <w:t>Quien siendo miembro de una corporación pública decida presentarse a la siguiente elección, por un partido distinto, deberá renunciar a la curul al menos doce (12) meses antes del primer día de inscripciones.</w:t>
      </w:r>
    </w:p>
    <w:p w:rsidR="003E6ED4" w:rsidRPr="003E6ED4" w:rsidRDefault="003E6ED4" w:rsidP="003E6ED4">
      <w:pPr>
        <w:pStyle w:val="NormalWeb"/>
        <w:shd w:val="clear" w:color="auto" w:fill="FFFFFF"/>
        <w:jc w:val="both"/>
        <w:rPr>
          <w:rFonts w:ascii="Arial" w:hAnsi="Arial" w:cs="Arial"/>
          <w:i/>
          <w:color w:val="000000"/>
        </w:rPr>
      </w:pPr>
      <w:r w:rsidRPr="003E6ED4">
        <w:rPr>
          <w:rFonts w:ascii="Arial" w:hAnsi="Arial" w:cs="Arial"/>
          <w:b/>
          <w:bCs/>
          <w:i/>
          <w:color w:val="000000"/>
        </w:rPr>
        <w:t>Parágrafo</w:t>
      </w:r>
      <w:r w:rsidRPr="003E6ED4">
        <w:rPr>
          <w:rFonts w:ascii="Arial" w:hAnsi="Arial" w:cs="Arial"/>
          <w:i/>
          <w:color w:val="000000"/>
        </w:rPr>
        <w:t> </w:t>
      </w:r>
      <w:r w:rsidRPr="003E6ED4">
        <w:rPr>
          <w:rFonts w:ascii="Arial" w:hAnsi="Arial" w:cs="Arial"/>
          <w:b/>
          <w:bCs/>
          <w:i/>
          <w:color w:val="000000"/>
        </w:rPr>
        <w:t>transitorio 1°.</w:t>
      </w:r>
      <w:r w:rsidRPr="003E6ED4">
        <w:rPr>
          <w:rFonts w:ascii="Arial" w:hAnsi="Arial" w:cs="Arial"/>
          <w:i/>
          <w:color w:val="000000"/>
        </w:rPr>
        <w:t xml:space="preserve"> Sin perjuicio de lo dispuesto por el artículo 134, dentro de los dos (2) meses siguientes a la entrada en vigencia del presente acto legislativo, </w:t>
      </w:r>
      <w:proofErr w:type="spellStart"/>
      <w:r w:rsidRPr="003E6ED4">
        <w:rPr>
          <w:rFonts w:ascii="Arial" w:hAnsi="Arial" w:cs="Arial"/>
          <w:i/>
          <w:color w:val="000000"/>
        </w:rPr>
        <w:t>autorízase</w:t>
      </w:r>
      <w:proofErr w:type="spellEnd"/>
      <w:r w:rsidRPr="003E6ED4">
        <w:rPr>
          <w:rFonts w:ascii="Arial" w:hAnsi="Arial" w:cs="Arial"/>
          <w:i/>
          <w:color w:val="000000"/>
        </w:rPr>
        <w:t>,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rsidR="003E6ED4" w:rsidRPr="003E6ED4" w:rsidRDefault="003E6ED4" w:rsidP="003E6ED4">
      <w:pPr>
        <w:pStyle w:val="NormalWeb"/>
        <w:shd w:val="clear" w:color="auto" w:fill="FFFFFF"/>
        <w:jc w:val="both"/>
        <w:rPr>
          <w:rFonts w:ascii="Arial" w:hAnsi="Arial" w:cs="Arial"/>
          <w:i/>
          <w:color w:val="000000"/>
        </w:rPr>
      </w:pPr>
      <w:r w:rsidRPr="003E6ED4">
        <w:rPr>
          <w:rFonts w:ascii="Arial" w:hAnsi="Arial" w:cs="Arial"/>
          <w:b/>
          <w:bCs/>
          <w:i/>
          <w:color w:val="000000"/>
        </w:rPr>
        <w:t>Parágrafo</w:t>
      </w:r>
      <w:r w:rsidRPr="003E6ED4">
        <w:rPr>
          <w:rFonts w:ascii="Arial" w:hAnsi="Arial" w:cs="Arial"/>
          <w:i/>
          <w:color w:val="000000"/>
        </w:rPr>
        <w:t> </w:t>
      </w:r>
      <w:r w:rsidRPr="003E6ED4">
        <w:rPr>
          <w:rFonts w:ascii="Arial" w:hAnsi="Arial" w:cs="Arial"/>
          <w:b/>
          <w:bCs/>
          <w:i/>
          <w:color w:val="000000"/>
        </w:rPr>
        <w:t>transitorio 2°.</w:t>
      </w:r>
      <w:r w:rsidRPr="003E6ED4">
        <w:rPr>
          <w:rFonts w:ascii="Arial" w:hAnsi="Arial" w:cs="Arial"/>
          <w:i/>
          <w:color w:val="000000"/>
        </w:rPr>
        <w:t> El Gobierno Nacional o los miembros del Congreso presentarán, antes del 1° de agosto de 2009, un Proyecto de Ley Estatutaria que desarrolle este artículo.</w:t>
      </w:r>
    </w:p>
    <w:p w:rsidR="003E6ED4" w:rsidRDefault="003E6ED4" w:rsidP="003E6ED4">
      <w:pPr>
        <w:pStyle w:val="NormalWeb"/>
        <w:shd w:val="clear" w:color="auto" w:fill="FFFFFF"/>
        <w:jc w:val="both"/>
        <w:rPr>
          <w:rFonts w:ascii="Arial" w:hAnsi="Arial" w:cs="Arial"/>
          <w:color w:val="000000"/>
        </w:rPr>
      </w:pPr>
      <w:r w:rsidRPr="003E6ED4">
        <w:rPr>
          <w:rFonts w:ascii="Arial" w:hAnsi="Arial" w:cs="Arial"/>
          <w:i/>
          <w:color w:val="000000"/>
        </w:rPr>
        <w:t>El Proyecto tendrá mensaje de urgencia y sesiones conjuntas y podrá ser objeto de mensaje de insistencia si fuere necesario. Se reducen a la mitad los términos para la revisión previa de exequibilidad del Proyecto de Ley Estatutaria, por parte de la Corte Constitucional.</w:t>
      </w:r>
      <w:r w:rsidRPr="003E6ED4">
        <w:rPr>
          <w:rFonts w:ascii="Arial" w:hAnsi="Arial" w:cs="Arial"/>
          <w:color w:val="000000"/>
        </w:rPr>
        <w:t>” (Subrayas fuera del texto original).</w:t>
      </w:r>
    </w:p>
    <w:p w:rsidR="003E6ED4" w:rsidRPr="003E6ED4" w:rsidRDefault="003E6ED4" w:rsidP="003E6ED4">
      <w:pPr>
        <w:pStyle w:val="NormalWeb"/>
        <w:numPr>
          <w:ilvl w:val="0"/>
          <w:numId w:val="1"/>
        </w:numPr>
        <w:shd w:val="clear" w:color="auto" w:fill="FFFFFF"/>
        <w:jc w:val="both"/>
        <w:rPr>
          <w:rFonts w:ascii="Arial" w:hAnsi="Arial" w:cs="Arial"/>
          <w:b/>
          <w:color w:val="000000"/>
          <w:sz w:val="27"/>
          <w:szCs w:val="27"/>
        </w:rPr>
      </w:pPr>
      <w:r w:rsidRPr="003E6ED4">
        <w:rPr>
          <w:rFonts w:ascii="Arial" w:hAnsi="Arial" w:cs="Arial"/>
          <w:b/>
          <w:color w:val="000000"/>
        </w:rPr>
        <w:t>ARTÍCULOS DE LA LEY ESTATUTARIA 1475 DE 2011</w:t>
      </w:r>
    </w:p>
    <w:p w:rsidR="003E6ED4" w:rsidRPr="00DE72CC" w:rsidRDefault="00DE72CC" w:rsidP="003E6ED4">
      <w:pPr>
        <w:pStyle w:val="NormalWeb"/>
        <w:shd w:val="clear" w:color="auto" w:fill="FFFFFF"/>
        <w:jc w:val="center"/>
        <w:rPr>
          <w:rFonts w:ascii="Arial" w:hAnsi="Arial" w:cs="Arial"/>
          <w:i/>
          <w:color w:val="000000"/>
        </w:rPr>
      </w:pPr>
      <w:r>
        <w:rPr>
          <w:rFonts w:ascii="Arial" w:hAnsi="Arial" w:cs="Arial"/>
          <w:color w:val="000000"/>
          <w:sz w:val="27"/>
          <w:szCs w:val="27"/>
        </w:rPr>
        <w:t>“</w:t>
      </w:r>
      <w:r w:rsidR="003E6ED4" w:rsidRPr="00DE72CC">
        <w:rPr>
          <w:rFonts w:ascii="Arial" w:hAnsi="Arial" w:cs="Arial"/>
          <w:i/>
          <w:color w:val="000000"/>
        </w:rPr>
        <w:t>CAPÍTULO II.</w:t>
      </w:r>
    </w:p>
    <w:p w:rsidR="003E6ED4" w:rsidRPr="00DE72CC" w:rsidRDefault="003E6ED4" w:rsidP="003E6ED4">
      <w:pPr>
        <w:pStyle w:val="NormalWeb"/>
        <w:shd w:val="clear" w:color="auto" w:fill="FFFFFF"/>
        <w:jc w:val="both"/>
        <w:rPr>
          <w:rFonts w:ascii="Arial" w:hAnsi="Arial" w:cs="Arial"/>
          <w:i/>
          <w:color w:val="000000"/>
        </w:rPr>
      </w:pPr>
      <w:r w:rsidRPr="00DE72CC">
        <w:rPr>
          <w:rFonts w:ascii="Arial" w:hAnsi="Arial" w:cs="Arial"/>
          <w:i/>
          <w:color w:val="000000"/>
        </w:rPr>
        <w:t>DE LAS CONSULTAS COMO MECANISMO DE DEMOCRACIA INTERNA.</w:t>
      </w:r>
    </w:p>
    <w:p w:rsidR="003E6ED4" w:rsidRPr="00DE72CC" w:rsidRDefault="003E6ED4" w:rsidP="003E6ED4">
      <w:pPr>
        <w:pStyle w:val="NormalWeb"/>
        <w:shd w:val="clear" w:color="auto" w:fill="FFFFFF"/>
        <w:jc w:val="both"/>
        <w:rPr>
          <w:rFonts w:ascii="Arial" w:hAnsi="Arial" w:cs="Arial"/>
          <w:i/>
          <w:color w:val="000000"/>
        </w:rPr>
      </w:pPr>
    </w:p>
    <w:p w:rsidR="003E6ED4" w:rsidRPr="00DE72CC" w:rsidRDefault="003E6ED4" w:rsidP="003E6ED4">
      <w:pPr>
        <w:pStyle w:val="NormalWeb"/>
        <w:shd w:val="clear" w:color="auto" w:fill="FFFFFF"/>
        <w:jc w:val="both"/>
        <w:rPr>
          <w:rFonts w:ascii="Arial" w:hAnsi="Arial" w:cs="Arial"/>
          <w:i/>
          <w:color w:val="000000"/>
        </w:rPr>
      </w:pPr>
      <w:r w:rsidRPr="00DE72CC">
        <w:rPr>
          <w:rFonts w:ascii="Arial" w:hAnsi="Arial" w:cs="Arial"/>
          <w:b/>
          <w:i/>
          <w:color w:val="000000"/>
        </w:rPr>
        <w:lastRenderedPageBreak/>
        <w:t>ARTÍCULO 5o.</w:t>
      </w:r>
      <w:r w:rsidRPr="00DE72CC">
        <w:rPr>
          <w:rFonts w:ascii="Arial" w:hAnsi="Arial" w:cs="Arial"/>
          <w:i/>
          <w:color w:val="000000"/>
        </w:rPr>
        <w:t xml:space="preserve"> Las consultas son mecanismos de participación democrática y política que los partidos y movimientos políticos con personería jurídica, y/o grupos significativos de ciudadanos pueden utilizar con la finalidad de adoptar decisiones internas o escoger sus candidatos, propios o de coalición, a cargos o cor</w:t>
      </w:r>
      <w:r w:rsidR="00DE72CC" w:rsidRPr="00DE72CC">
        <w:rPr>
          <w:rFonts w:ascii="Arial" w:hAnsi="Arial" w:cs="Arial"/>
          <w:i/>
          <w:color w:val="000000"/>
        </w:rPr>
        <w:t>poraciones de elección popular.</w:t>
      </w:r>
    </w:p>
    <w:p w:rsidR="003E6ED4" w:rsidRPr="00DE72CC" w:rsidRDefault="003E6ED4" w:rsidP="003E6ED4">
      <w:pPr>
        <w:pStyle w:val="NormalWeb"/>
        <w:shd w:val="clear" w:color="auto" w:fill="FFFFFF"/>
        <w:jc w:val="both"/>
        <w:rPr>
          <w:rFonts w:ascii="Arial" w:hAnsi="Arial" w:cs="Arial"/>
          <w:i/>
          <w:color w:val="000000"/>
        </w:rPr>
      </w:pPr>
      <w:r w:rsidRPr="00DE72CC">
        <w:rPr>
          <w:rFonts w:ascii="Arial" w:hAnsi="Arial" w:cs="Arial"/>
          <w:i/>
          <w:color w:val="000000"/>
        </w:rPr>
        <w:t>Las consultas pueden ser internas o populares. Se denominarán internas cuando en ellas sólo puedan participar los miembros de la organización política que se encuentren en el registro de afiliados. Se denominarán populares cuando puedan hacerlo todos los ciudadanos inscritos en el censo electoral. Las consultas internas se regularán por las disposiciones previstas en los estatutos de los partidos y movimientos políticos</w:t>
      </w:r>
      <w:r w:rsidR="00DE72CC" w:rsidRPr="00DE72CC">
        <w:rPr>
          <w:rFonts w:ascii="Arial" w:hAnsi="Arial" w:cs="Arial"/>
          <w:i/>
          <w:color w:val="000000"/>
        </w:rPr>
        <w:t>.</w:t>
      </w:r>
    </w:p>
    <w:p w:rsidR="003E6ED4" w:rsidRPr="00DE72CC" w:rsidRDefault="003E6ED4" w:rsidP="003E6ED4">
      <w:pPr>
        <w:pStyle w:val="NormalWeb"/>
        <w:shd w:val="clear" w:color="auto" w:fill="FFFFFF"/>
        <w:jc w:val="both"/>
        <w:rPr>
          <w:rFonts w:ascii="Arial" w:hAnsi="Arial" w:cs="Arial"/>
          <w:i/>
          <w:color w:val="000000"/>
        </w:rPr>
      </w:pPr>
      <w:r w:rsidRPr="00DE72CC">
        <w:rPr>
          <w:rFonts w:ascii="Arial" w:hAnsi="Arial" w:cs="Arial"/>
          <w:i/>
          <w:color w:val="000000"/>
        </w:rPr>
        <w:t>Las consultas convocadas por una coalición de partidos y/o movimientos políticos con personería jurídica, pueden ser internas o populares y se denominarán interpartidistas. Podrán ser convocadas con el objeto de seleccionar candidatos de coalición a cargos uninominales, previo acuerdo suscrito por sus directivos nacionales o dep</w:t>
      </w:r>
      <w:r w:rsidR="00DE72CC" w:rsidRPr="00DE72CC">
        <w:rPr>
          <w:rFonts w:ascii="Arial" w:hAnsi="Arial" w:cs="Arial"/>
          <w:i/>
          <w:color w:val="000000"/>
        </w:rPr>
        <w:t>artamentales según sea el caso.</w:t>
      </w:r>
    </w:p>
    <w:p w:rsidR="003E6ED4" w:rsidRPr="00DE72CC" w:rsidRDefault="003E6ED4" w:rsidP="003E6ED4">
      <w:pPr>
        <w:pStyle w:val="NormalWeb"/>
        <w:shd w:val="clear" w:color="auto" w:fill="FFFFFF"/>
        <w:jc w:val="both"/>
        <w:rPr>
          <w:rFonts w:ascii="Arial" w:hAnsi="Arial" w:cs="Arial"/>
          <w:i/>
          <w:color w:val="000000"/>
        </w:rPr>
      </w:pPr>
      <w:r w:rsidRPr="00DE72CC">
        <w:rPr>
          <w:rFonts w:ascii="Arial" w:hAnsi="Arial" w:cs="Arial"/>
          <w:i/>
          <w:color w:val="000000"/>
        </w:rPr>
        <w:t>El Estado contribuirá al financiamiento de las consultas mediante el sistema de reposición de gastos por votos obtenidos. Los partidos y movimientos políticos podrán solicitar anticipos para estas consultas de acuerdo con la reglamentación que expida el Consejo Nacional Electoral.</w:t>
      </w:r>
    </w:p>
    <w:p w:rsidR="003E6ED4" w:rsidRPr="00DE72CC" w:rsidRDefault="003E6ED4" w:rsidP="003E6ED4">
      <w:pPr>
        <w:pStyle w:val="NormalWeb"/>
        <w:shd w:val="clear" w:color="auto" w:fill="FFFFFF"/>
        <w:jc w:val="both"/>
        <w:rPr>
          <w:rFonts w:ascii="Arial" w:hAnsi="Arial" w:cs="Arial"/>
          <w:i/>
          <w:color w:val="000000"/>
        </w:rPr>
      </w:pPr>
      <w:r w:rsidRPr="00DE72CC">
        <w:rPr>
          <w:rFonts w:ascii="Arial" w:hAnsi="Arial" w:cs="Arial"/>
          <w:b/>
          <w:i/>
          <w:color w:val="000000"/>
        </w:rPr>
        <w:t>ARTÍCULO 6o. NORMAS APLICABLES A LAS CONSULTAS</w:t>
      </w:r>
      <w:r w:rsidRPr="00DE72CC">
        <w:rPr>
          <w:rFonts w:ascii="Arial" w:hAnsi="Arial" w:cs="Arial"/>
          <w:i/>
          <w:color w:val="000000"/>
        </w:rPr>
        <w:t>. En las consultas populares se aplicarán las normas que rigen para las elecciones ordinarias y en las internas las disposiciones estatutarias propias de los partidos y movimientos que las convoquen. La organización electoral colaborará para la realización de las consultas de los partidos y movimientos políticos, la cual incluirá el suministro de tarjetas electorales o instrumentos de votación electrónica, la instalación de puestos de votación y</w:t>
      </w:r>
      <w:r w:rsidR="00DE72CC" w:rsidRPr="00DE72CC">
        <w:rPr>
          <w:rFonts w:ascii="Arial" w:hAnsi="Arial" w:cs="Arial"/>
          <w:i/>
          <w:color w:val="000000"/>
        </w:rPr>
        <w:t xml:space="preserve"> la realización del escrutinio.</w:t>
      </w:r>
    </w:p>
    <w:p w:rsidR="003E6ED4" w:rsidRPr="00DE72CC" w:rsidRDefault="003E6ED4" w:rsidP="003E6ED4">
      <w:pPr>
        <w:pStyle w:val="NormalWeb"/>
        <w:shd w:val="clear" w:color="auto" w:fill="FFFFFF"/>
        <w:jc w:val="both"/>
        <w:rPr>
          <w:rFonts w:ascii="Arial" w:hAnsi="Arial" w:cs="Arial"/>
          <w:i/>
          <w:color w:val="000000"/>
        </w:rPr>
      </w:pPr>
      <w:r w:rsidRPr="00DE72CC">
        <w:rPr>
          <w:rFonts w:ascii="Arial" w:hAnsi="Arial" w:cs="Arial"/>
          <w:i/>
          <w:color w:val="000000"/>
        </w:rPr>
        <w:t>En el caso de las consultas populares interpartidistas, el límite de gastos, el número de vallas, avisos en prensa y cuñas, se fijarán para cada partido, movimiento o grupo significativo de ciudadanos en condiciones de igualdad, los cuales harán la distribución entre sus precandidatos.</w:t>
      </w:r>
    </w:p>
    <w:p w:rsidR="003E6ED4" w:rsidRPr="00DE72CC" w:rsidRDefault="003E6ED4" w:rsidP="003E6ED4">
      <w:pPr>
        <w:pStyle w:val="NormalWeb"/>
        <w:shd w:val="clear" w:color="auto" w:fill="FFFFFF"/>
        <w:jc w:val="both"/>
        <w:rPr>
          <w:rFonts w:ascii="Arial" w:hAnsi="Arial" w:cs="Arial"/>
          <w:i/>
          <w:color w:val="000000"/>
        </w:rPr>
      </w:pPr>
    </w:p>
    <w:p w:rsidR="003E6ED4" w:rsidRPr="00DE72CC" w:rsidRDefault="003E6ED4" w:rsidP="003E6ED4">
      <w:pPr>
        <w:pStyle w:val="NormalWeb"/>
        <w:shd w:val="clear" w:color="auto" w:fill="FFFFFF"/>
        <w:jc w:val="both"/>
        <w:rPr>
          <w:rFonts w:ascii="Arial" w:hAnsi="Arial" w:cs="Arial"/>
          <w:i/>
          <w:color w:val="000000"/>
        </w:rPr>
      </w:pPr>
      <w:r w:rsidRPr="00DE72CC">
        <w:rPr>
          <w:rFonts w:ascii="Arial" w:hAnsi="Arial" w:cs="Arial"/>
          <w:i/>
          <w:color w:val="000000"/>
        </w:rPr>
        <w:t>La realización de las consultas podrá coincidir con las elecciones a corporaciones públicas. Cada año el Consejo Nacional Electoral señalará una fecha para la realización de las consultas, cuando deban realizarse en día distinto al señalado para las elecciones ordinarias. En todo caso las consultas populares para seleccionar candidatos a un mismo cargo o corporación se realizarán en la misma fecha por todos los partidos y movimientos que d</w:t>
      </w:r>
      <w:r w:rsidR="00DE72CC" w:rsidRPr="00DE72CC">
        <w:rPr>
          <w:rFonts w:ascii="Arial" w:hAnsi="Arial" w:cs="Arial"/>
          <w:i/>
          <w:color w:val="000000"/>
        </w:rPr>
        <w:t>ecidan acudir a este mecanismo.</w:t>
      </w:r>
    </w:p>
    <w:p w:rsidR="003E6ED4" w:rsidRPr="00DE72CC" w:rsidRDefault="003E6ED4" w:rsidP="003E6ED4">
      <w:pPr>
        <w:pStyle w:val="NormalWeb"/>
        <w:shd w:val="clear" w:color="auto" w:fill="FFFFFF"/>
        <w:jc w:val="both"/>
        <w:rPr>
          <w:rFonts w:ascii="Arial" w:hAnsi="Arial" w:cs="Arial"/>
          <w:i/>
          <w:color w:val="000000"/>
        </w:rPr>
      </w:pPr>
      <w:r w:rsidRPr="00DE72CC">
        <w:rPr>
          <w:rFonts w:ascii="Arial" w:hAnsi="Arial" w:cs="Arial"/>
          <w:i/>
          <w:color w:val="000000"/>
        </w:rPr>
        <w:lastRenderedPageBreak/>
        <w:t>El Consejo Nacional Electoral reglamentará la convocatoria y realización de las consultas garantizando la igualdad entre los partidos, movimientos políticos y grupos significativos de ciudadanos que participen en ellas.</w:t>
      </w:r>
    </w:p>
    <w:p w:rsidR="003E6ED4" w:rsidRPr="00DE72CC" w:rsidRDefault="003E6ED4" w:rsidP="003E6ED4">
      <w:pPr>
        <w:pStyle w:val="NormalWeb"/>
        <w:shd w:val="clear" w:color="auto" w:fill="FFFFFF"/>
        <w:jc w:val="both"/>
        <w:rPr>
          <w:rFonts w:ascii="Arial" w:hAnsi="Arial" w:cs="Arial"/>
          <w:i/>
          <w:color w:val="000000"/>
        </w:rPr>
      </w:pPr>
      <w:r w:rsidRPr="00DE72CC">
        <w:rPr>
          <w:rFonts w:ascii="Arial" w:hAnsi="Arial" w:cs="Arial"/>
          <w:b/>
          <w:i/>
          <w:color w:val="000000"/>
        </w:rPr>
        <w:t>ARTÍCULO 7o. OBLIGATORIEDAD DE LOS RESULTADOS</w:t>
      </w:r>
      <w:r w:rsidRPr="00DE72CC">
        <w:rPr>
          <w:rFonts w:ascii="Arial" w:hAnsi="Arial" w:cs="Arial"/>
          <w:i/>
          <w:color w:val="000000"/>
        </w:rPr>
        <w:t>. El resultado de las consultas será obligatorio para el partido, movimiento, grupo significativo de ciudadanos o coalición, que las hubiere convocado, así como para los precandidatos que hubieren participado en</w:t>
      </w:r>
      <w:r w:rsidR="00DE72CC" w:rsidRPr="00DE72CC">
        <w:rPr>
          <w:rFonts w:ascii="Arial" w:hAnsi="Arial" w:cs="Arial"/>
          <w:i/>
          <w:color w:val="000000"/>
        </w:rPr>
        <w:t xml:space="preserve"> ellas.</w:t>
      </w:r>
    </w:p>
    <w:p w:rsidR="003E6ED4" w:rsidRPr="00DE72CC" w:rsidRDefault="003E6ED4" w:rsidP="003E6ED4">
      <w:pPr>
        <w:pStyle w:val="NormalWeb"/>
        <w:shd w:val="clear" w:color="auto" w:fill="FFFFFF"/>
        <w:jc w:val="both"/>
        <w:rPr>
          <w:rFonts w:ascii="Arial" w:hAnsi="Arial" w:cs="Arial"/>
          <w:i/>
          <w:color w:val="000000"/>
        </w:rPr>
      </w:pPr>
      <w:r w:rsidRPr="00DE72CC">
        <w:rPr>
          <w:rFonts w:ascii="Arial" w:hAnsi="Arial" w:cs="Arial"/>
          <w:i/>
          <w:color w:val="000000"/>
        </w:rPr>
        <w:t xml:space="preserve">Se entiende que un precandidato ha participado en una consulta cuando su inscripción ha quedado en firme de conformidad con las disposiciones establecidas por los partidos y movimientos que las convocan. Quienes hubieren participado como precandidatos quedarán inhabilitados para inscribirse como candidatos en cualquier circunscripción dentro del mismo proceso electoral, por partidos, movimientos, grupos significativos de ciudadanos o coaliciones distintas. Los partidos y movimientos políticos y sus directivos, las coaliciones, los promotores de los grupos significativos de ciudadanos y los precandidatos que participaron en la consulta, no podrán inscribir ni apoyar candidatos distintos a los seleccionados en dicho mecanismo, con excepción de los casos de muerte o incapacidad absoluta del candidato así seleccionado. La inobservancia de este precepto, será causal de nulidad o revocatoria de la inscripción del </w:t>
      </w:r>
      <w:bookmarkStart w:id="0" w:name="_GoBack"/>
      <w:bookmarkEnd w:id="0"/>
      <w:r w:rsidRPr="00DE72CC">
        <w:rPr>
          <w:rFonts w:ascii="Arial" w:hAnsi="Arial" w:cs="Arial"/>
          <w:i/>
          <w:color w:val="000000"/>
        </w:rPr>
        <w:t>candidato que se apoye, diferente al elegido en la consulta. La inscripción, en todo caso, a solicitud del candidato seleccionado, se hará a nombre de los partidos, movimientos o coaliciones que realizaron la consulta, aunque no suscriban el formular</w:t>
      </w:r>
      <w:r w:rsidR="00DE72CC" w:rsidRPr="00DE72CC">
        <w:rPr>
          <w:rFonts w:ascii="Arial" w:hAnsi="Arial" w:cs="Arial"/>
          <w:i/>
          <w:color w:val="000000"/>
        </w:rPr>
        <w:t>io de solicitud de inscripción.</w:t>
      </w:r>
    </w:p>
    <w:p w:rsidR="003E6ED4" w:rsidRDefault="003E6ED4" w:rsidP="003E6ED4">
      <w:pPr>
        <w:pStyle w:val="NormalWeb"/>
        <w:shd w:val="clear" w:color="auto" w:fill="FFFFFF"/>
        <w:jc w:val="both"/>
        <w:rPr>
          <w:rFonts w:ascii="Arial" w:hAnsi="Arial" w:cs="Arial"/>
          <w:color w:val="000000"/>
          <w:sz w:val="27"/>
          <w:szCs w:val="27"/>
        </w:rPr>
      </w:pPr>
      <w:r w:rsidRPr="00DE72CC">
        <w:rPr>
          <w:rFonts w:ascii="Arial" w:hAnsi="Arial" w:cs="Arial"/>
          <w:i/>
          <w:color w:val="000000"/>
        </w:rPr>
        <w:t>En caso de incumplimiento de los resultados de las consultas o en caso de renuncia del candidato, los partidos, movimientos y/o candidatos, deberán reintegrar proporcionalmente los gastos en que hubiere incurrido la organización electoral, los cuales serán fijados por el Consejo Nacional Electoral con base en los informes que presente la Registraduría Nacional del Estado Civil. Estas sumas podrán ser descontadas de la financiación estatal que corresponda a dichos partidos y movimientos.</w:t>
      </w:r>
      <w:r w:rsidR="00DE72CC">
        <w:rPr>
          <w:rFonts w:ascii="Arial" w:hAnsi="Arial" w:cs="Arial"/>
          <w:color w:val="000000"/>
          <w:sz w:val="27"/>
          <w:szCs w:val="27"/>
        </w:rPr>
        <w:t>”</w:t>
      </w:r>
    </w:p>
    <w:p w:rsidR="003E6ED4" w:rsidRPr="003E6ED4" w:rsidRDefault="003E6ED4" w:rsidP="003E6ED4">
      <w:pPr>
        <w:jc w:val="both"/>
        <w:rPr>
          <w:rFonts w:ascii="Arial" w:hAnsi="Arial" w:cs="Arial"/>
          <w:b/>
          <w:sz w:val="24"/>
          <w:szCs w:val="24"/>
        </w:rPr>
      </w:pPr>
    </w:p>
    <w:sectPr w:rsidR="003E6ED4" w:rsidRPr="003E6ED4" w:rsidSect="00C3415D">
      <w:headerReference w:type="default" r:id="rId8"/>
      <w:footerReference w:type="default" r:id="rId9"/>
      <w:pgSz w:w="12240" w:h="15840"/>
      <w:pgMar w:top="1417" w:right="1701" w:bottom="1417"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F7" w:rsidRDefault="00B64FF7" w:rsidP="00C3415D">
      <w:pPr>
        <w:spacing w:after="0" w:line="240" w:lineRule="auto"/>
      </w:pPr>
      <w:r>
        <w:separator/>
      </w:r>
    </w:p>
  </w:endnote>
  <w:endnote w:type="continuationSeparator" w:id="0">
    <w:p w:rsidR="00B64FF7" w:rsidRDefault="00B64FF7" w:rsidP="00C3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5D" w:rsidRPr="007C0BC6" w:rsidRDefault="00C3415D" w:rsidP="00C3415D">
    <w:pPr>
      <w:tabs>
        <w:tab w:val="center" w:pos="4419"/>
        <w:tab w:val="right" w:pos="8838"/>
      </w:tabs>
      <w:spacing w:after="0" w:line="240" w:lineRule="auto"/>
      <w:jc w:val="center"/>
      <w:rPr>
        <w:rFonts w:ascii="Times New Roman" w:eastAsia="Times New Roman" w:hAnsi="Times New Roman" w:cs="Arial"/>
        <w:noProof/>
        <w:color w:val="262626"/>
        <w:sz w:val="18"/>
        <w:szCs w:val="20"/>
        <w:lang w:val="es-ES" w:eastAsia="es-CO"/>
      </w:rPr>
    </w:pPr>
    <w:r>
      <w:rPr>
        <w:rFonts w:ascii="Times New Roman" w:eastAsia="Times New Roman" w:hAnsi="Times New Roman" w:cs="Arial"/>
        <w:noProof/>
        <w:color w:val="767171"/>
        <w:sz w:val="18"/>
        <w:szCs w:val="20"/>
        <w:lang w:val="es-ES" w:eastAsia="es-CO"/>
      </w:rPr>
      <w:t>Registraduría Delegada en lo Electoral</w:t>
    </w:r>
  </w:p>
  <w:p w:rsidR="00C3415D" w:rsidRPr="007C0BC6" w:rsidRDefault="00C3415D" w:rsidP="00C3415D">
    <w:pPr>
      <w:tabs>
        <w:tab w:val="center" w:pos="4419"/>
        <w:tab w:val="right" w:pos="8838"/>
      </w:tabs>
      <w:spacing w:after="0" w:line="240" w:lineRule="auto"/>
      <w:jc w:val="center"/>
      <w:rPr>
        <w:rFonts w:ascii="Times New Roman" w:eastAsia="Times New Roman" w:hAnsi="Times New Roman" w:cs="Arial"/>
        <w:color w:val="262626"/>
        <w:sz w:val="18"/>
        <w:szCs w:val="20"/>
        <w:lang w:val="es-ES" w:eastAsia="es-ES"/>
      </w:rPr>
    </w:pPr>
    <w:r w:rsidRPr="007C0BC6">
      <w:rPr>
        <w:rFonts w:ascii="Times New Roman" w:eastAsia="Times New Roman" w:hAnsi="Times New Roman" w:cs="Arial"/>
        <w:color w:val="262626"/>
        <w:sz w:val="18"/>
        <w:szCs w:val="20"/>
        <w:lang w:val="es-ES" w:eastAsia="es-ES"/>
      </w:rPr>
      <w:t>Avenida Calle 26 No. 51 – 50 Oficina 30</w:t>
    </w:r>
    <w:r>
      <w:rPr>
        <w:rFonts w:ascii="Times New Roman" w:eastAsia="Times New Roman" w:hAnsi="Times New Roman" w:cs="Arial"/>
        <w:color w:val="262626"/>
        <w:sz w:val="18"/>
        <w:szCs w:val="20"/>
        <w:lang w:val="es-ES" w:eastAsia="es-ES"/>
      </w:rPr>
      <w:t>4</w:t>
    </w:r>
    <w:r w:rsidRPr="007C0BC6">
      <w:rPr>
        <w:rFonts w:ascii="Times New Roman" w:eastAsia="Times New Roman" w:hAnsi="Times New Roman" w:cs="Arial"/>
        <w:color w:val="262626"/>
        <w:sz w:val="18"/>
        <w:szCs w:val="20"/>
        <w:lang w:val="es-ES" w:eastAsia="es-ES"/>
      </w:rPr>
      <w:t xml:space="preserve"> – PBX (+571) 2202880 Ext: 13</w:t>
    </w:r>
    <w:r>
      <w:rPr>
        <w:rFonts w:ascii="Times New Roman" w:eastAsia="Times New Roman" w:hAnsi="Times New Roman" w:cs="Arial"/>
        <w:color w:val="262626"/>
        <w:sz w:val="18"/>
        <w:szCs w:val="20"/>
        <w:lang w:val="es-ES" w:eastAsia="es-ES"/>
      </w:rPr>
      <w:t>21</w:t>
    </w:r>
    <w:r w:rsidRPr="007C0BC6">
      <w:rPr>
        <w:rFonts w:ascii="Times New Roman" w:eastAsia="Times New Roman" w:hAnsi="Times New Roman" w:cs="Arial"/>
        <w:color w:val="262626"/>
        <w:sz w:val="18"/>
        <w:szCs w:val="20"/>
        <w:lang w:val="es-ES" w:eastAsia="es-ES"/>
      </w:rPr>
      <w:t xml:space="preserve"> – 1</w:t>
    </w:r>
    <w:r>
      <w:rPr>
        <w:rFonts w:ascii="Times New Roman" w:eastAsia="Times New Roman" w:hAnsi="Times New Roman" w:cs="Arial"/>
        <w:color w:val="262626"/>
        <w:sz w:val="18"/>
        <w:szCs w:val="20"/>
        <w:lang w:val="es-ES" w:eastAsia="es-ES"/>
      </w:rPr>
      <w:t>22</w:t>
    </w:r>
    <w:r w:rsidRPr="007C0BC6">
      <w:rPr>
        <w:rFonts w:ascii="Times New Roman" w:eastAsia="Times New Roman" w:hAnsi="Times New Roman" w:cs="Arial"/>
        <w:color w:val="262626"/>
        <w:sz w:val="18"/>
        <w:szCs w:val="20"/>
        <w:lang w:val="es-ES" w:eastAsia="es-ES"/>
      </w:rPr>
      <w:t xml:space="preserve"> – Código Postal 111321 – </w:t>
    </w:r>
  </w:p>
  <w:p w:rsidR="00C3415D" w:rsidRPr="007C0BC6" w:rsidRDefault="00C3415D" w:rsidP="00C3415D">
    <w:pPr>
      <w:tabs>
        <w:tab w:val="center" w:pos="4419"/>
        <w:tab w:val="right" w:pos="8838"/>
      </w:tabs>
      <w:spacing w:after="0" w:line="240" w:lineRule="auto"/>
      <w:jc w:val="center"/>
      <w:rPr>
        <w:rFonts w:ascii="Times New Roman" w:eastAsia="Times New Roman" w:hAnsi="Times New Roman" w:cs="Arial"/>
        <w:color w:val="262626"/>
        <w:sz w:val="18"/>
        <w:szCs w:val="20"/>
        <w:lang w:val="es-ES" w:eastAsia="es-ES"/>
      </w:rPr>
    </w:pPr>
    <w:r w:rsidRPr="007C0BC6">
      <w:rPr>
        <w:rFonts w:ascii="Times New Roman" w:eastAsia="Times New Roman" w:hAnsi="Times New Roman" w:cs="Arial"/>
        <w:color w:val="262626"/>
        <w:sz w:val="18"/>
        <w:szCs w:val="20"/>
        <w:lang w:val="es-ES" w:eastAsia="es-ES"/>
      </w:rPr>
      <w:t xml:space="preserve">– Bogotá D.C. –  </w:t>
    </w:r>
    <w:hyperlink r:id="rId1" w:history="1">
      <w:r w:rsidRPr="007C0BC6">
        <w:rPr>
          <w:rFonts w:ascii="Times New Roman" w:eastAsia="Times New Roman" w:hAnsi="Times New Roman" w:cs="Arial"/>
          <w:color w:val="0000FF"/>
          <w:sz w:val="18"/>
          <w:szCs w:val="20"/>
          <w:u w:val="single"/>
          <w:lang w:val="es-ES" w:eastAsia="es-ES"/>
        </w:rPr>
        <w:t>www.registraduria.gov.co</w:t>
      </w:r>
    </w:hyperlink>
  </w:p>
  <w:p w:rsidR="00C3415D" w:rsidRPr="007C0BC6" w:rsidRDefault="00C3415D" w:rsidP="00C3415D">
    <w:pPr>
      <w:tabs>
        <w:tab w:val="center" w:pos="4419"/>
        <w:tab w:val="right" w:pos="8838"/>
      </w:tabs>
      <w:spacing w:after="0" w:line="240" w:lineRule="auto"/>
      <w:jc w:val="center"/>
      <w:rPr>
        <w:rFonts w:ascii="Times New Roman" w:eastAsia="Times New Roman" w:hAnsi="Times New Roman" w:cs="Arial"/>
        <w:color w:val="262626"/>
        <w:sz w:val="18"/>
        <w:szCs w:val="20"/>
        <w:lang w:val="es-ES" w:eastAsia="es-ES"/>
      </w:rPr>
    </w:pPr>
    <w:r w:rsidRPr="007C0BC6">
      <w:rPr>
        <w:rFonts w:ascii="Times New Roman" w:eastAsia="Times New Roman" w:hAnsi="Times New Roman" w:cs="Times New Roman"/>
        <w:noProof/>
        <w:sz w:val="20"/>
        <w:szCs w:val="20"/>
        <w:lang w:eastAsia="es-CO"/>
      </w:rPr>
      <mc:AlternateContent>
        <mc:Choice Requires="wps">
          <w:drawing>
            <wp:anchor distT="0" distB="0" distL="114300" distR="114300" simplePos="0" relativeHeight="251659264" behindDoc="0" locked="0" layoutInCell="1" allowOverlap="1" wp14:anchorId="5C93A59D" wp14:editId="274571A5">
              <wp:simplePos x="0" y="0"/>
              <wp:positionH relativeFrom="column">
                <wp:posOffset>12700</wp:posOffset>
              </wp:positionH>
              <wp:positionV relativeFrom="paragraph">
                <wp:posOffset>54610</wp:posOffset>
              </wp:positionV>
              <wp:extent cx="3571875" cy="45720"/>
              <wp:effectExtent l="0" t="0" r="9525" b="0"/>
              <wp:wrapNone/>
              <wp:docPr id="3"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1875" cy="45720"/>
                      </a:xfrm>
                      <a:prstGeom prst="rect">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C35CA4" id="Rectángulo 10" o:spid="_x0000_s1026" style="position:absolute;margin-left:1pt;margin-top:4.3pt;width:281.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" fillcolor="#595959" stroked="f" strokeweight="1pt">
              <v:path arrowok="t"/>
            </v:rect>
          </w:pict>
        </mc:Fallback>
      </mc:AlternateContent>
    </w:r>
    <w:r w:rsidRPr="007C0BC6">
      <w:rPr>
        <w:rFonts w:ascii="Times New Roman" w:eastAsia="Times New Roman" w:hAnsi="Times New Roman" w:cs="Times New Roman"/>
        <w:noProof/>
        <w:sz w:val="20"/>
        <w:szCs w:val="20"/>
        <w:lang w:eastAsia="es-CO"/>
      </w:rPr>
      <mc:AlternateContent>
        <mc:Choice Requires="wps">
          <w:drawing>
            <wp:anchor distT="0" distB="0" distL="114300" distR="114300" simplePos="0" relativeHeight="251660288" behindDoc="0" locked="0" layoutInCell="1" allowOverlap="1" wp14:anchorId="2E259937" wp14:editId="73739763">
              <wp:simplePos x="0" y="0"/>
              <wp:positionH relativeFrom="column">
                <wp:posOffset>3510915</wp:posOffset>
              </wp:positionH>
              <wp:positionV relativeFrom="paragraph">
                <wp:posOffset>54610</wp:posOffset>
              </wp:positionV>
              <wp:extent cx="1570990" cy="45720"/>
              <wp:effectExtent l="0" t="0" r="0" b="0"/>
              <wp:wrapNone/>
              <wp:docPr id="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0990" cy="45720"/>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541A1" id="Rectángulo 9" o:spid="_x0000_s1026" style="position:absolute;margin-left:276.45pt;margin-top:4.3pt;width:123.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" fillcolor="#7f7f7f" stroked="f" strokeweight="1pt">
              <v:path arrowok="t"/>
            </v:rect>
          </w:pict>
        </mc:Fallback>
      </mc:AlternateContent>
    </w:r>
    <w:r w:rsidRPr="007C0BC6">
      <w:rPr>
        <w:rFonts w:ascii="Times New Roman" w:eastAsia="Times New Roman" w:hAnsi="Times New Roman" w:cs="Times New Roman"/>
        <w:noProof/>
        <w:sz w:val="20"/>
        <w:szCs w:val="20"/>
        <w:lang w:eastAsia="es-CO"/>
      </w:rPr>
      <mc:AlternateContent>
        <mc:Choice Requires="wps">
          <w:drawing>
            <wp:anchor distT="0" distB="0" distL="114300" distR="114300" simplePos="0" relativeHeight="251661312" behindDoc="0" locked="0" layoutInCell="1" allowOverlap="1" wp14:anchorId="3483AAF3" wp14:editId="3A41FB07">
              <wp:simplePos x="0" y="0"/>
              <wp:positionH relativeFrom="column">
                <wp:posOffset>5081905</wp:posOffset>
              </wp:positionH>
              <wp:positionV relativeFrom="paragraph">
                <wp:posOffset>55245</wp:posOffset>
              </wp:positionV>
              <wp:extent cx="800735" cy="45085"/>
              <wp:effectExtent l="0" t="0" r="0" b="0"/>
              <wp:wrapNone/>
              <wp:docPr id="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735" cy="45085"/>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A4103" id="Rectángulo 8" o:spid="_x0000_s1026" style="position:absolute;margin-left:400.15pt;margin-top:4.35pt;width:63.0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" fillcolor="#a6a6a6" stroked="f" strokeweight="1pt">
              <v:path arrowok="t"/>
            </v:rect>
          </w:pict>
        </mc:Fallback>
      </mc:AlternateContent>
    </w:r>
  </w:p>
  <w:p w:rsidR="00C3415D" w:rsidRPr="007C0BC6" w:rsidRDefault="00C3415D" w:rsidP="00C3415D">
    <w:pPr>
      <w:tabs>
        <w:tab w:val="center" w:pos="4419"/>
        <w:tab w:val="right" w:pos="8838"/>
      </w:tabs>
      <w:spacing w:after="0" w:line="240" w:lineRule="auto"/>
      <w:jc w:val="center"/>
      <w:rPr>
        <w:rFonts w:ascii="Arial" w:eastAsia="Times New Roman" w:hAnsi="Arial" w:cs="Times New Roman"/>
        <w:b/>
        <w:noProof/>
        <w:lang w:val="es-ES" w:eastAsia="es-ES"/>
      </w:rPr>
    </w:pPr>
    <w:r w:rsidRPr="007C0BC6">
      <w:rPr>
        <w:rFonts w:ascii="Times New Roman" w:eastAsia="Times New Roman" w:hAnsi="Times New Roman" w:cs="Arial"/>
        <w:b/>
        <w:color w:val="262626"/>
        <w:szCs w:val="20"/>
        <w:lang w:val="es-ES" w:eastAsia="es-ES"/>
      </w:rPr>
      <w:t>“Colombia es democracia, Registraduría su garantía”</w:t>
    </w:r>
  </w:p>
  <w:p w:rsidR="00C3415D" w:rsidRPr="00C3415D" w:rsidRDefault="00C3415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F7" w:rsidRDefault="00B64FF7" w:rsidP="00C3415D">
      <w:pPr>
        <w:spacing w:after="0" w:line="240" w:lineRule="auto"/>
      </w:pPr>
      <w:r>
        <w:separator/>
      </w:r>
    </w:p>
  </w:footnote>
  <w:footnote w:type="continuationSeparator" w:id="0">
    <w:p w:rsidR="00B64FF7" w:rsidRDefault="00B64FF7" w:rsidP="00C34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15D" w:rsidRDefault="00C3415D" w:rsidP="00C3415D">
    <w:pPr>
      <w:pStyle w:val="Encabezado"/>
      <w:jc w:val="center"/>
    </w:pPr>
    <w:r w:rsidRPr="00C54340">
      <w:rPr>
        <w:rFonts w:ascii="Arial" w:hAnsi="Arial"/>
        <w:noProof/>
        <w:sz w:val="28"/>
        <w:lang w:eastAsia="es-CO"/>
      </w:rPr>
      <w:drawing>
        <wp:inline distT="0" distB="0" distL="0" distR="0" wp14:anchorId="273B93F3" wp14:editId="33A7A8CB">
          <wp:extent cx="1847850" cy="1123950"/>
          <wp:effectExtent l="0" t="0" r="0" b="0"/>
          <wp:docPr id="12" name="Imagen 12" descr="Logo reg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descr="Logo regi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D7372"/>
    <w:multiLevelType w:val="hybridMultilevel"/>
    <w:tmpl w:val="484A8E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5D"/>
    <w:rsid w:val="003E6ED4"/>
    <w:rsid w:val="00747DEF"/>
    <w:rsid w:val="00B64FF7"/>
    <w:rsid w:val="00C3415D"/>
    <w:rsid w:val="00C53204"/>
    <w:rsid w:val="00DE72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1D3267-F76F-465F-B75F-65489DFD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41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415D"/>
  </w:style>
  <w:style w:type="paragraph" w:styleId="Piedepgina">
    <w:name w:val="footer"/>
    <w:basedOn w:val="Normal"/>
    <w:link w:val="PiedepginaCar"/>
    <w:uiPriority w:val="99"/>
    <w:unhideWhenUsed/>
    <w:rsid w:val="00C341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415D"/>
  </w:style>
  <w:style w:type="paragraph" w:styleId="Prrafodelista">
    <w:name w:val="List Paragraph"/>
    <w:basedOn w:val="Normal"/>
    <w:uiPriority w:val="34"/>
    <w:qFormat/>
    <w:rsid w:val="003E6ED4"/>
    <w:pPr>
      <w:ind w:left="720"/>
      <w:contextualSpacing/>
    </w:pPr>
  </w:style>
  <w:style w:type="paragraph" w:styleId="NormalWeb">
    <w:name w:val="Normal (Web)"/>
    <w:basedOn w:val="Normal"/>
    <w:uiPriority w:val="99"/>
    <w:semiHidden/>
    <w:unhideWhenUsed/>
    <w:rsid w:val="003E6ED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3E6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caldiabogota.gov.co/sisjur/normas/Norma1.jsp?i=368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gistradu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1515</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Leyva Namen</dc:creator>
  <cp:keywords/>
  <dc:description/>
  <cp:lastModifiedBy>Carlos Alberto Leyva Namen</cp:lastModifiedBy>
  <cp:revision>3</cp:revision>
  <dcterms:created xsi:type="dcterms:W3CDTF">2017-10-23T16:07:00Z</dcterms:created>
  <dcterms:modified xsi:type="dcterms:W3CDTF">2017-10-23T16:15:00Z</dcterms:modified>
</cp:coreProperties>
</file>